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color w:val="ff9900"/>
        </w:rPr>
      </w:pPr>
      <w:bookmarkStart w:colFirst="0" w:colLast="0" w:name="_wizxt3ldphkb" w:id="0"/>
      <w:bookmarkEnd w:id="0"/>
      <w:r w:rsidDel="00000000" w:rsidR="00000000" w:rsidRPr="00000000">
        <w:rPr>
          <w:color w:val="ff9900"/>
          <w:rtl w:val="0"/>
        </w:rPr>
        <w:t xml:space="preserve">Oppsummer </w:t>
      </w:r>
      <w:r w:rsidDel="00000000" w:rsidR="00000000" w:rsidRPr="00000000">
        <w:rPr>
          <w:color w:val="ff9900"/>
          <w:rtl w:val="0"/>
        </w:rPr>
        <w:t xml:space="preserve">innsikter</w:t>
      </w:r>
      <w:r w:rsidDel="00000000" w:rsidR="00000000" w:rsidRPr="00000000">
        <w:rPr>
          <w:color w:val="ff9900"/>
          <w:rtl w:val="0"/>
        </w:rPr>
        <w:t xml:space="preserve"> - bolke</w:t>
      </w:r>
    </w:p>
    <w:p w:rsidR="00000000" w:rsidDel="00000000" w:rsidP="00000000" w:rsidRDefault="00000000" w:rsidRPr="00000000" w14:paraId="00000002">
      <w:pPr>
        <w:pageBreakBefore w:val="0"/>
        <w:rPr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Mål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Hvem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Analysere innsiktene. </w:t>
              <w:br w:type="textWrapping"/>
              <w:t xml:space="preserve">Felles forståelse av viktige tema/behov.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 som har deltatt i innsiktsarbeidet (inkl. kunde om de har vært med)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 timer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Når innsiktsarbeidet er gjennomført bør en sette av tid til å gruppere det du har lært tematisk. Gå i dybden på hva de de betyr. Sorter og analyser dem til du kan definere et klart mulighetsrom.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Finn viktige temaer:</w:t>
      </w:r>
      <w:r w:rsidDel="00000000" w:rsidR="00000000" w:rsidRPr="00000000">
        <w:rPr>
          <w:rtl w:val="0"/>
        </w:rPr>
        <w:t xml:space="preserve"> Gå gjennom det dere har lært. Skriv opp viktige lærdommer på post-its. Kategoriser de som hører sammen og gi dem en beskrivende overskrift. Se etter mønstre på tvers av alle dataene. (intervjuer, observasjoner, statistikk osv.).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Gå i dybden:</w:t>
      </w:r>
      <w:r w:rsidDel="00000000" w:rsidR="00000000" w:rsidRPr="00000000">
        <w:rPr>
          <w:rtl w:val="0"/>
        </w:rPr>
        <w:t xml:space="preserve"> Se etter sammenhenger mellom temaer. Hva betyr temaet egentlig? Er det noe som er motstridende? Er det noe som er særlig overraskende og hvorfor? Noter underveis.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Kill your darlings</w:t>
      </w:r>
      <w:r w:rsidDel="00000000" w:rsidR="00000000" w:rsidRPr="00000000">
        <w:rPr>
          <w:rtl w:val="0"/>
        </w:rPr>
        <w:t xml:space="preserve">: Unngå å bli innsikts-horders. Det er bedre å jobbe videre med noen få viktige tema, enn mange vage. Forkast det som fremstår mindre viktig.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Vurder innsiktene: </w:t>
      </w:r>
      <w:r w:rsidDel="00000000" w:rsidR="00000000" w:rsidRPr="00000000">
        <w:rPr>
          <w:rtl w:val="0"/>
        </w:rPr>
        <w:t xml:space="preserve">Har vi nok kunnskap om temaet? Bør vi diskutere innsiktene med kunden? Finnes det forskning/teorier som kan utdype innsikten? Trenger vi mer forståelse om enkelte tema?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Oppsummer:</w:t>
      </w:r>
      <w:r w:rsidDel="00000000" w:rsidR="00000000" w:rsidRPr="00000000">
        <w:rPr>
          <w:rtl w:val="0"/>
        </w:rPr>
        <w:t xml:space="preserve"> Skriv ut de viktige innsiktene som mulighetsrom (se eget dokument). Her er det viktig med klar rollefordeling og tidsfrister (hvem skriver ut hva, og når skal det være ferdigstilt).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  <w:font w:name="PT Mono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rFonts w:ascii="PT Mono" w:cs="PT Mono" w:eastAsia="PT Mono" w:hAnsi="PT Mono"/>
      <w:color w:val="ff867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Helvetica Neue" w:cs="Helvetica Neue" w:eastAsia="Helvetica Neue" w:hAnsi="Helvetica Neue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Helvetica Neue" w:cs="Helvetica Neue" w:eastAsia="Helvetica Neue" w:hAnsi="Helvetica Neue"/>
      <w:b w:val="1"/>
      <w:color w:val="e0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PT Mono" w:cs="PT Mono" w:eastAsia="PT Mono" w:hAnsi="PT Mono"/>
      <w:b w:val="1"/>
      <w:color w:val="e0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Helvetica Neue" w:cs="Helvetica Neue" w:eastAsia="Helvetica Neue" w:hAnsi="Helvetica Neue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PTMono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